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6636AB21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055B81">
        <w:rPr>
          <w:rFonts w:ascii="Arial" w:eastAsia="Arial" w:hAnsi="Arial" w:cs="Arial"/>
          <w:b/>
          <w:sz w:val="24"/>
          <w:szCs w:val="24"/>
        </w:rPr>
        <w:t>0</w:t>
      </w:r>
      <w:r w:rsidR="0094677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2DD22C74" w:rsidR="00A66758" w:rsidRDefault="00000000" w:rsidP="0094677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055B81">
        <w:rPr>
          <w:rFonts w:ascii="Arial" w:eastAsia="Arial" w:hAnsi="Arial" w:cs="Arial"/>
          <w:color w:val="1F1F1F"/>
          <w:sz w:val="24"/>
          <w:szCs w:val="24"/>
        </w:rPr>
        <w:t xml:space="preserve">01 REGISTRADOR DE DATOS – DATA </w:t>
      </w:r>
      <w:proofErr w:type="spellStart"/>
      <w:r w:rsidR="00055B81">
        <w:rPr>
          <w:rFonts w:ascii="Arial" w:eastAsia="Arial" w:hAnsi="Arial" w:cs="Arial"/>
          <w:color w:val="1F1F1F"/>
          <w:sz w:val="24"/>
          <w:szCs w:val="24"/>
        </w:rPr>
        <w:t>LOGGER</w:t>
      </w:r>
      <w:proofErr w:type="spellEnd"/>
      <w:r w:rsidR="00055B81">
        <w:rPr>
          <w:rFonts w:ascii="Arial" w:eastAsia="Arial" w:hAnsi="Arial" w:cs="Arial"/>
          <w:color w:val="1F1F1F"/>
          <w:sz w:val="24"/>
          <w:szCs w:val="24"/>
        </w:rPr>
        <w:t xml:space="preserve"> 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3C07F870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055B8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01 REGISTRADOR DE DATOS – DATA </w:t>
            </w:r>
            <w:proofErr w:type="spellStart"/>
            <w:r w:rsidR="00055B81">
              <w:rPr>
                <w:rFonts w:ascii="Arial" w:eastAsia="Arial" w:hAnsi="Arial" w:cs="Arial"/>
                <w:color w:val="1F1F1F"/>
                <w:sz w:val="24"/>
                <w:szCs w:val="24"/>
              </w:rPr>
              <w:t>LOGGER</w:t>
            </w:r>
            <w:proofErr w:type="spellEnd"/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055B81"/>
    <w:rsid w:val="001827B4"/>
    <w:rsid w:val="00191EBF"/>
    <w:rsid w:val="001C3BC1"/>
    <w:rsid w:val="0021166A"/>
    <w:rsid w:val="00376A53"/>
    <w:rsid w:val="003C7932"/>
    <w:rsid w:val="00436B96"/>
    <w:rsid w:val="00492103"/>
    <w:rsid w:val="004F26FF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46776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2023-05-09T21:42:00Z</dcterms:created>
  <dcterms:modified xsi:type="dcterms:W3CDTF">2023-05-09T21:42:00Z</dcterms:modified>
</cp:coreProperties>
</file>