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7"/>
          <w:headerReference w:type="default" r:id="rId18"/>
          <w:footerReference w:type="even" r:id="rId19"/>
          <w:footerReference w:type="default" r:id="rId20"/>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21"/>
      <w:headerReference w:type="default" r:id="rId22"/>
      <w:footerReference w:type="even" r:id="rId23"/>
      <w:footerReference w:type="default" r:id="rId2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505D" w14:textId="77777777" w:rsidR="00EB761E" w:rsidRDefault="00EB761E">
      <w:pPr>
        <w:spacing w:after="0" w:line="240" w:lineRule="auto"/>
      </w:pPr>
      <w:r>
        <w:separator/>
      </w:r>
    </w:p>
  </w:endnote>
  <w:endnote w:type="continuationSeparator" w:id="0">
    <w:p w14:paraId="60284358" w14:textId="77777777" w:rsidR="00EB761E" w:rsidRDefault="00EB761E">
      <w:pPr>
        <w:spacing w:after="0" w:line="240" w:lineRule="auto"/>
      </w:pPr>
      <w:r>
        <w:continuationSeparator/>
      </w:r>
    </w:p>
  </w:endnote>
  <w:endnote w:type="continuationNotice" w:id="1">
    <w:p w14:paraId="09973985" w14:textId="77777777" w:rsidR="00EB761E" w:rsidRDefault="00EB7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54D3" w14:textId="77777777" w:rsidR="002A08AA" w:rsidRDefault="002A08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C1A5" w14:textId="77777777" w:rsidR="00EB761E" w:rsidRDefault="00EB761E">
      <w:pPr>
        <w:spacing w:after="0" w:line="240" w:lineRule="auto"/>
      </w:pPr>
      <w:r>
        <w:separator/>
      </w:r>
    </w:p>
  </w:footnote>
  <w:footnote w:type="continuationSeparator" w:id="0">
    <w:p w14:paraId="394EDE8A" w14:textId="77777777" w:rsidR="00EB761E" w:rsidRDefault="00EB761E">
      <w:pPr>
        <w:spacing w:after="0" w:line="240" w:lineRule="auto"/>
      </w:pPr>
      <w:r>
        <w:continuationSeparator/>
      </w:r>
    </w:p>
  </w:footnote>
  <w:footnote w:type="continuationNotice" w:id="1">
    <w:p w14:paraId="4B9E36BB" w14:textId="77777777" w:rsidR="00EB761E" w:rsidRDefault="00EB761E">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4D6C9EEE" w:rsidR="005F1F79" w:rsidRDefault="00BA6ADA" w:rsidP="00BA6ADA">
    <w:pPr>
      <w:pStyle w:val="Encabezado"/>
      <w:pBdr>
        <w:bottom w:val="single" w:sz="4" w:space="1" w:color="auto"/>
      </w:pBdr>
    </w:pPr>
    <w:r>
      <w:rPr>
        <w:b/>
        <w:i/>
      </w:rPr>
      <w:t>COMPRA N° 3</w:t>
    </w:r>
    <w:r w:rsidR="002A08AA">
      <w:rPr>
        <w:b/>
        <w:i/>
      </w:rPr>
      <w:t>4</w:t>
    </w:r>
    <w:r>
      <w:rPr>
        <w:b/>
        <w:i/>
      </w:rPr>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CD6" w14:textId="77777777" w:rsidR="002A08AA" w:rsidRDefault="002A08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8AA"/>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ADA"/>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B761E"/>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17</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998</cp:lastModifiedBy>
  <cp:revision>9</cp:revision>
  <cp:lastPrinted>2017-09-25T16:09:00Z</cp:lastPrinted>
  <dcterms:created xsi:type="dcterms:W3CDTF">2023-04-20T19:47:00Z</dcterms:created>
  <dcterms:modified xsi:type="dcterms:W3CDTF">2023-04-22T03:48:00Z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